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A6" w:rsidRDefault="00DD3D5F">
      <w:pPr>
        <w:pStyle w:val="Bodytext30"/>
        <w:framePr w:wrap="none" w:vAnchor="page" w:hAnchor="page" w:x="1111" w:y="1733"/>
        <w:shd w:val="clear" w:color="auto" w:fill="auto"/>
        <w:spacing w:after="0"/>
        <w:ind w:left="480"/>
      </w:pPr>
      <w:r>
        <w:rPr>
          <w:rStyle w:val="Bodytext31"/>
          <w:b/>
          <w:bCs/>
        </w:rPr>
        <w:t>Antwoorden hfd. 4 Socialisatie in het gezin</w:t>
      </w:r>
    </w:p>
    <w:p w:rsidR="00E059A6" w:rsidRDefault="00DD3D5F">
      <w:pPr>
        <w:pStyle w:val="Heading10"/>
        <w:framePr w:w="9134" w:h="12176" w:hRule="exact" w:wrap="none" w:vAnchor="page" w:hAnchor="page" w:x="1111" w:y="2419"/>
        <w:shd w:val="clear" w:color="auto" w:fill="auto"/>
        <w:spacing w:before="0"/>
        <w:ind w:left="480"/>
      </w:pPr>
      <w:bookmarkStart w:id="0" w:name="bookmark0"/>
      <w:r>
        <w:t>4.1</w:t>
      </w:r>
      <w:bookmarkEnd w:id="0"/>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264"/>
        <w:ind w:left="480"/>
      </w:pPr>
      <w:r>
        <w:t>Als er in de maatschappij iets verandert, verandert er ook iets in de gezinnen. Maatschappelijke ontwikkelingen beïnvloeden ook de verhoudingen in gezinnen.</w:t>
      </w:r>
    </w:p>
    <w:p w:rsidR="00E059A6" w:rsidRDefault="00DD3D5F">
      <w:pPr>
        <w:pStyle w:val="Heading10"/>
        <w:framePr w:w="9134" w:h="12176" w:hRule="exact" w:wrap="none" w:vAnchor="page" w:hAnchor="page" w:x="1111" w:y="2419"/>
        <w:shd w:val="clear" w:color="auto" w:fill="auto"/>
        <w:spacing w:before="0" w:line="240" w:lineRule="exact"/>
        <w:ind w:left="480"/>
      </w:pPr>
      <w:bookmarkStart w:id="1" w:name="bookmark1"/>
      <w:r>
        <w:t>4.2</w:t>
      </w:r>
      <w:bookmarkEnd w:id="1"/>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 xml:space="preserve">De katholieken hadden als taak om groter te </w:t>
      </w:r>
      <w:r>
        <w:t>worden dan het protestantse smaldeel en de geestelijkheid deed er alles aan om de mensen te stimuleren om kinderen te krijgen.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In een agrarische samenleving kent iedereen alle mensen in de buurt. Je moet elkaar als buurt (buren) helpen. Je kwam gemakke</w:t>
      </w:r>
      <w:bookmarkStart w:id="2" w:name="_GoBack"/>
      <w:bookmarkEnd w:id="2"/>
      <w:r>
        <w:t>lijk</w:t>
      </w:r>
      <w:r>
        <w:t xml:space="preserve"> bij elkaar over de vloer en vertelde elkaar veel dingen.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Twee geloven op één kussen, daar slaapt de duivel tussen.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Dat nam af van 2,34 naar 1,59.</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 Er werken steeds minder in de landbouw en visserij sector.</w:t>
      </w:r>
    </w:p>
    <w:p w:rsidR="00E059A6" w:rsidRDefault="00DD3D5F">
      <w:pPr>
        <w:pStyle w:val="Bodytext20"/>
        <w:framePr w:w="9134" w:h="12176" w:hRule="exact" w:wrap="none" w:vAnchor="page" w:hAnchor="page" w:x="1111" w:y="2419"/>
        <w:numPr>
          <w:ilvl w:val="0"/>
          <w:numId w:val="2"/>
        </w:numPr>
        <w:shd w:val="clear" w:color="auto" w:fill="auto"/>
        <w:tabs>
          <w:tab w:val="left" w:pos="742"/>
        </w:tabs>
        <w:spacing w:after="0" w:line="240" w:lineRule="exact"/>
        <w:ind w:left="480" w:firstLine="0"/>
      </w:pPr>
      <w:r>
        <w:t>De nijverheidssector nam toe.</w:t>
      </w:r>
    </w:p>
    <w:p w:rsidR="00E059A6" w:rsidRDefault="00DD3D5F">
      <w:pPr>
        <w:pStyle w:val="Bodytext20"/>
        <w:framePr w:w="9134" w:h="12176" w:hRule="exact" w:wrap="none" w:vAnchor="page" w:hAnchor="page" w:x="1111" w:y="2419"/>
        <w:numPr>
          <w:ilvl w:val="0"/>
          <w:numId w:val="2"/>
        </w:numPr>
        <w:shd w:val="clear" w:color="auto" w:fill="auto"/>
        <w:tabs>
          <w:tab w:val="left" w:pos="742"/>
        </w:tabs>
        <w:spacing w:after="0" w:line="240" w:lineRule="exact"/>
        <w:ind w:left="480" w:firstLine="0"/>
      </w:pPr>
      <w:r>
        <w:t xml:space="preserve">De dienstensector </w:t>
      </w:r>
      <w:r>
        <w:t>nam toe.</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Een vrouw die achter het gordijn naar buiten gluurt om allerlei zaken te zien. Een echtpaar dat omkijkt om zaken in de gaten te houden.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De mensen leefden in die samengestelde gezinnen open naar elkaar. Ze zullen alles gedeeld hebben. Naar de buite</w:t>
      </w:r>
      <w:r>
        <w:t>nwereld zullen de contacten veel geslotener zijn geweest.</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 Trouwen in eigen kring (sociaal, godsdienstig en geografisch);</w:t>
      </w:r>
    </w:p>
    <w:p w:rsidR="00E059A6" w:rsidRDefault="00DD3D5F">
      <w:pPr>
        <w:pStyle w:val="Bodytext20"/>
        <w:framePr w:w="9134" w:h="12176" w:hRule="exact" w:wrap="none" w:vAnchor="page" w:hAnchor="page" w:x="1111" w:y="2419"/>
        <w:numPr>
          <w:ilvl w:val="0"/>
          <w:numId w:val="2"/>
        </w:numPr>
        <w:shd w:val="clear" w:color="auto" w:fill="auto"/>
        <w:tabs>
          <w:tab w:val="left" w:pos="742"/>
        </w:tabs>
        <w:spacing w:line="240" w:lineRule="exact"/>
        <w:ind w:left="480" w:firstLine="0"/>
      </w:pPr>
      <w:r>
        <w:t>Men trouwde vooral op economische grondslag. “Rijk trouwt rijk”.</w:t>
      </w:r>
    </w:p>
    <w:p w:rsidR="00E059A6" w:rsidRDefault="00DD3D5F">
      <w:pPr>
        <w:pStyle w:val="Heading10"/>
        <w:framePr w:w="9134" w:h="12176" w:hRule="exact" w:wrap="none" w:vAnchor="page" w:hAnchor="page" w:x="1111" w:y="2419"/>
        <w:shd w:val="clear" w:color="auto" w:fill="auto"/>
        <w:spacing w:before="0" w:line="240" w:lineRule="exact"/>
        <w:ind w:left="480"/>
      </w:pPr>
      <w:bookmarkStart w:id="3" w:name="bookmark2"/>
      <w:r>
        <w:t>4.3</w:t>
      </w:r>
      <w:bookmarkEnd w:id="3"/>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D66 (gekozen burgmeester, gekozen minister-president, referendum</w:t>
      </w:r>
      <w:r>
        <w:t>).</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Men houdt zich minder vast aan het geloof en dus krijgt men ook andere opvattingen over gezinnen.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Vrouwen eisen een zekere mate van zelfstandigheid. Ze willen dezelfde rechten als mannen en daarom zullen sommige vrouwen niet meer willen trouwen of een g</w:t>
      </w:r>
      <w:r>
        <w:t>rotere rol in een samenlevingsverband opeisen.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Er ontstonden heel veel typen gezinnen/samenlevingsverbanden omdat we in een geïndividualiseerd tijdperk terecht kwamen, waar het geloof veel minder grip op de mensen had.</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Lesbisch zijn was geen probleem als m</w:t>
      </w:r>
      <w:r>
        <w:t>en het maar niet al te zeer uitdroeg en te veel eisen stelde. Dit accepteerden vrouwen niet. De vrouwenbeweging bloeide en groeide.</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Het waren normale vrouwen die op een aantal zaken kwaad waren.</w:t>
      </w:r>
    </w:p>
    <w:p w:rsidR="00E059A6" w:rsidRDefault="00DD3D5F">
      <w:pPr>
        <w:pStyle w:val="Bodytext20"/>
        <w:framePr w:w="9134" w:h="12176" w:hRule="exact" w:wrap="none" w:vAnchor="page" w:hAnchor="page" w:x="1111" w:y="2419"/>
        <w:numPr>
          <w:ilvl w:val="0"/>
          <w:numId w:val="1"/>
        </w:numPr>
        <w:shd w:val="clear" w:color="auto" w:fill="auto"/>
        <w:tabs>
          <w:tab w:val="left" w:pos="445"/>
          <w:tab w:val="left" w:leader="dot" w:pos="4219"/>
        </w:tabs>
        <w:spacing w:after="0" w:line="240" w:lineRule="exact"/>
        <w:ind w:left="480"/>
      </w:pPr>
      <w:r>
        <w:t>Het waren mannenhaters: ‘Dat een vrouw</w:t>
      </w:r>
      <w:r>
        <w:tab/>
        <w:t>heteroseksueel. ‘</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Niet</w:t>
      </w:r>
      <w:r>
        <w:t xml:space="preserve"> echt serieus. Het ging vooral om homofiele mannen.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Problemen die heteroseksuele vrouwen hadden, hadden lesbische vrouwen niet. Het draaide te veel over homofilie.</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Overdreven dat er vrouwen zijn die mannen haten.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jc w:val="both"/>
      </w:pPr>
      <w:r>
        <w:t>Ze vinden dat mannen de vrouwen onderdrukke</w:t>
      </w:r>
      <w:r>
        <w:t>n, maar tevens worden de mannen door de werkgevers uitgebuit. Ze krijgen te weinig salaris. Ze willen veranderingen en eventueel de mannen negeren. Een maatschappij zonder mannen.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 xml:space="preserve">Een stoere vrouw die een beetje op een man lijkt, met een broek aan. In die </w:t>
      </w:r>
      <w:r>
        <w:t>tijd redelijk ongebruikelijk. Paars wijst op de toenmalige terroristische beweging ‘Zwarte September’. Ook wijst het op de verkleuring van de homokleur roze naar purper, naar paars. Dit gebeurt er namelijk als iemand zich boos maakt.</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Het vrouwenteken en tw</w:t>
      </w:r>
      <w:r>
        <w:t>ee vrouwen die elkaar liefhebben (in een zonnetje geplaatst).</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Zij willen dat vrouwen veel meer te zeggen krijgen in de maatschappij. Ze willen een maatschappij met meer inspraak en zeggenschap voor vrouwen.</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Deze vrouwen kijken naar zichzelf. Ze willen zelf</w:t>
      </w:r>
      <w:r>
        <w:t xml:space="preserve"> optimaal gelukkig zijn in de maatschappij en qua samenlevingsvorm. Ze maken eigen keuzes.</w:t>
      </w:r>
    </w:p>
    <w:p w:rsidR="00E059A6" w:rsidRDefault="00DD3D5F">
      <w:pPr>
        <w:pStyle w:val="Bodytext20"/>
        <w:framePr w:w="9134" w:h="12176" w:hRule="exact" w:wrap="none" w:vAnchor="page" w:hAnchor="page" w:x="1111" w:y="2419"/>
        <w:numPr>
          <w:ilvl w:val="0"/>
          <w:numId w:val="1"/>
        </w:numPr>
        <w:shd w:val="clear" w:color="auto" w:fill="auto"/>
        <w:tabs>
          <w:tab w:val="left" w:pos="445"/>
        </w:tabs>
        <w:spacing w:after="0" w:line="240" w:lineRule="exact"/>
        <w:ind w:left="480"/>
      </w:pPr>
      <w:r>
        <w:t>Deze vrouwen hebben niet veel meer op met een geloof. Ze maken hun eigen keuzes en laten zich niet</w:t>
      </w:r>
    </w:p>
    <w:p w:rsidR="00E059A6" w:rsidRDefault="00DD3D5F">
      <w:pPr>
        <w:pStyle w:val="Headerorfooter0"/>
        <w:framePr w:wrap="none" w:vAnchor="page" w:hAnchor="page" w:x="1587" w:y="14988"/>
        <w:shd w:val="clear" w:color="auto" w:fill="auto"/>
      </w:pPr>
      <w:r>
        <w:t xml:space="preserve">20 </w:t>
      </w:r>
      <w:r>
        <w:rPr>
          <w:rStyle w:val="Headerorfooter1"/>
        </w:rPr>
        <w:t>Docentenhandleiding Actua.ml Vorming havo</w:t>
      </w:r>
    </w:p>
    <w:p w:rsidR="00E059A6" w:rsidRDefault="00E059A6">
      <w:pPr>
        <w:rPr>
          <w:sz w:val="2"/>
          <w:szCs w:val="2"/>
        </w:rPr>
        <w:sectPr w:rsidR="00E059A6">
          <w:pgSz w:w="11900" w:h="16840"/>
          <w:pgMar w:top="360" w:right="360" w:bottom="360" w:left="360" w:header="0" w:footer="3" w:gutter="0"/>
          <w:cols w:space="720"/>
          <w:noEndnote/>
          <w:docGrid w:linePitch="360"/>
        </w:sectPr>
      </w:pPr>
    </w:p>
    <w:p w:rsidR="00E059A6" w:rsidRDefault="00DD3D5F">
      <w:pPr>
        <w:pStyle w:val="Bodytext20"/>
        <w:framePr w:w="9106" w:h="12926" w:hRule="exact" w:wrap="none" w:vAnchor="page" w:hAnchor="page" w:x="1126" w:y="1712"/>
        <w:shd w:val="clear" w:color="auto" w:fill="auto"/>
        <w:tabs>
          <w:tab w:val="left" w:pos="925"/>
        </w:tabs>
        <w:spacing w:after="0" w:line="240" w:lineRule="exact"/>
        <w:ind w:left="480" w:firstLine="0"/>
      </w:pPr>
      <w:r>
        <w:lastRenderedPageBreak/>
        <w:t>door het geloof of de kerk regeren.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Een identiteit van een soort van man-vrouw die mannen niet echt nodig heeft en soms zelfs haat.</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240" w:line="240" w:lineRule="exact"/>
        <w:ind w:left="480"/>
      </w:pPr>
      <w:r>
        <w:t xml:space="preserve">Andere vrouwen zagen mede door toedoen van alle vrouwenbewegingen de macht van de vrouw toenemen. </w:t>
      </w:r>
      <w:r>
        <w:t>De meeste vrouwen legden zich niet zo maar neer bij de meningen, besluiten, beslissingen en opvattingen van mannen.</w:t>
      </w:r>
    </w:p>
    <w:p w:rsidR="00E059A6" w:rsidRDefault="00DD3D5F">
      <w:pPr>
        <w:pStyle w:val="Heading10"/>
        <w:framePr w:w="9106" w:h="12926" w:hRule="exact" w:wrap="none" w:vAnchor="page" w:hAnchor="page" w:x="1126" w:y="1712"/>
        <w:shd w:val="clear" w:color="auto" w:fill="auto"/>
        <w:spacing w:before="0" w:line="240" w:lineRule="exact"/>
        <w:ind w:left="480"/>
      </w:pPr>
      <w:bookmarkStart w:id="4" w:name="bookmark3"/>
      <w:r>
        <w:t>4.4</w:t>
      </w:r>
      <w:bookmarkEnd w:id="4"/>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Mensen legden meer de nadruk op zichzelf en voelden minder ervoor om hun leven te delen met een partner waar men altijd concessies en co</w:t>
      </w:r>
      <w:r>
        <w:t>mpromissen moest sluiten en rekening moet houden met de ander.</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Zij hebben moderne opvattingen. Ze zien vrouwen op gelijke hoogte met mannen. Er is geen verschil tussen de seksen. Man en vrouw zijn gelijk. Veel Marokkaanse-Nederlanders zien de man juist als</w:t>
      </w:r>
      <w:r>
        <w:t xml:space="preserve"> dominant in een huwelijk.</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Zowel man als vrouw en ook de kinderen zijn meer met zichzelf bezig. Man en vrouw willen beiden carrière maken. Ze investeren in zichzelf. Ook de kinderen voeren hun ‘eigen’ leven, waar men de nadruk op zichzelf legt.</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Jongeren di</w:t>
      </w:r>
      <w:r>
        <w:t>e hiervoor kiezen komen los te staan van hun eigen groep. Men schippert tussen twee families.</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De leefstijl die voortvloeit uit een godsdienst of geen godsdienst.</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 xml:space="preserve">Turkse of Marokkaanse jongeren ontmoeten steeds meer jongeren van hun eigen afkomst of met </w:t>
      </w:r>
      <w:r>
        <w:t>dezelfde wortels.</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Het zullen steeds de ouders van deze Turkse- of Marokkaanse jongeren zijn die de gang van zaken goed in de gaten houden.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240" w:line="240" w:lineRule="exact"/>
        <w:ind w:left="480"/>
      </w:pPr>
      <w:r>
        <w:t>Kostwinnersgezin. Bij deze moslimjongeren speelt nog altijd het patriarchale uitgangspunt (man dominant) een rol.</w:t>
      </w:r>
    </w:p>
    <w:p w:rsidR="00E059A6" w:rsidRDefault="00DD3D5F">
      <w:pPr>
        <w:pStyle w:val="Heading10"/>
        <w:framePr w:w="9106" w:h="12926" w:hRule="exact" w:wrap="none" w:vAnchor="page" w:hAnchor="page" w:x="1126" w:y="1712"/>
        <w:shd w:val="clear" w:color="auto" w:fill="auto"/>
        <w:spacing w:before="0" w:line="240" w:lineRule="exact"/>
        <w:ind w:left="480"/>
      </w:pPr>
      <w:bookmarkStart w:id="5" w:name="bookmark4"/>
      <w:r>
        <w:t>4.5</w:t>
      </w:r>
      <w:bookmarkEnd w:id="5"/>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Eigen mening.</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Een belangrijke. De kerk, vakbonden, scholen en andere verzuilde organisaties kregen een duidelijke rol om mensen in de zuil te houden en te voorzien van de in die zuil geldende waarden en normen.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Er waren geen meningsverschillen over de wij</w:t>
      </w:r>
      <w:r>
        <w:t>ze waarop de opvoeding moest plaatsvinden. Dit geschiedde volgens de principes van de zuil.</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Eigen mening.</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Op de sociale omgeving rond het gezin van het kind. Deze moeten zich bezig houden met de opvoeding van eikaars kinderen.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Ouders en scholen moeten veel</w:t>
      </w:r>
      <w:r>
        <w:t xml:space="preserve"> meer als partners gaan optreden.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240" w:line="240" w:lineRule="exact"/>
        <w:ind w:left="480"/>
      </w:pPr>
      <w:r>
        <w:t>Losstaande maatregelen die genomen worden om kinderen in het gareel te houden. Er zit niet een overallvisie achter.</w:t>
      </w:r>
    </w:p>
    <w:p w:rsidR="00E059A6" w:rsidRDefault="00DD3D5F">
      <w:pPr>
        <w:pStyle w:val="Heading10"/>
        <w:framePr w:w="9106" w:h="12926" w:hRule="exact" w:wrap="none" w:vAnchor="page" w:hAnchor="page" w:x="1126" w:y="1712"/>
        <w:shd w:val="clear" w:color="auto" w:fill="auto"/>
        <w:spacing w:before="0" w:line="240" w:lineRule="exact"/>
        <w:ind w:left="480"/>
      </w:pPr>
      <w:bookmarkStart w:id="6" w:name="bookmark5"/>
      <w:r>
        <w:t>4.6</w:t>
      </w:r>
      <w:bookmarkEnd w:id="6"/>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 xml:space="preserve">Omdat de norm tot de jaren ’60 van de vorige eeuw nu eenmaal een huwelijk voor de wet was en vaak ook </w:t>
      </w:r>
      <w:r>
        <w:t>voor de kerk.</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Dan wordt dat niet meer als iets aparts gezien, maar iets wat men als gewoon gaat accepteren.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Het bleken sterren te zijn. Er was sprake van een soort van Oscaruitreiking. Zeer veel journalisten waren aanwezig die foto’s van deze happening maa</w:t>
      </w:r>
      <w:r>
        <w:t>kten.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Jongeren stuiten nog vaak op taboes. Ook de tolerantie voor openbare uitingen van homozijn is in alle lagen van de bevolking gebrekkig.</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Laag, net zoals dat 50 jaar geleden bij autochtonen in Nederlanders was.</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Dit zijn ambtenaren die het afsluiten van</w:t>
      </w:r>
      <w:r>
        <w:t xml:space="preserve"> een homohuwelijk weigeren vanwege principiële (vaak godsdienstige) redenen.</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Confessionele, meestal streng gereformeerde stroming: CU-SGP.</w:t>
      </w:r>
    </w:p>
    <w:p w:rsidR="00E059A6" w:rsidRDefault="00DD3D5F">
      <w:pPr>
        <w:pStyle w:val="Bodytext20"/>
        <w:framePr w:w="9106" w:h="12926" w:hRule="exact" w:wrap="none" w:vAnchor="page" w:hAnchor="page" w:x="1126" w:y="1712"/>
        <w:numPr>
          <w:ilvl w:val="0"/>
          <w:numId w:val="1"/>
        </w:numPr>
        <w:shd w:val="clear" w:color="auto" w:fill="auto"/>
        <w:tabs>
          <w:tab w:val="left" w:pos="435"/>
        </w:tabs>
        <w:spacing w:after="0" w:line="240" w:lineRule="exact"/>
        <w:ind w:left="480"/>
      </w:pPr>
      <w:r>
        <w:t>Dit blijft na een stormachtig begin (inhaaleffect) op een constant niveau, voor zowel de mannen als de vrouwen.</w:t>
      </w:r>
    </w:p>
    <w:p w:rsidR="00E059A6" w:rsidRDefault="00DD3D5F">
      <w:pPr>
        <w:pStyle w:val="Headerorfooter0"/>
        <w:framePr w:wrap="none" w:vAnchor="page" w:hAnchor="page" w:x="1563" w:y="14978"/>
        <w:shd w:val="clear" w:color="auto" w:fill="auto"/>
      </w:pPr>
      <w:r>
        <w:t xml:space="preserve">21 </w:t>
      </w:r>
      <w:r>
        <w:rPr>
          <w:rStyle w:val="Headerorfooter1"/>
        </w:rPr>
        <w:t>Docentenhandleiding Actua.ml Vorming havo</w:t>
      </w:r>
    </w:p>
    <w:p w:rsidR="00E059A6" w:rsidRDefault="00E059A6">
      <w:pPr>
        <w:rPr>
          <w:sz w:val="2"/>
          <w:szCs w:val="2"/>
        </w:rPr>
        <w:sectPr w:rsidR="00E059A6">
          <w:pgSz w:w="11900" w:h="16840"/>
          <w:pgMar w:top="360" w:right="360" w:bottom="360" w:left="360" w:header="0" w:footer="3" w:gutter="0"/>
          <w:cols w:space="720"/>
          <w:noEndnote/>
          <w:docGrid w:linePitch="360"/>
        </w:sectPr>
      </w:pPr>
    </w:p>
    <w:p w:rsidR="00E059A6" w:rsidRDefault="00DD3D5F">
      <w:pPr>
        <w:pStyle w:val="Bodytext20"/>
        <w:framePr w:wrap="none" w:vAnchor="page" w:hAnchor="page" w:x="1126" w:y="1723"/>
        <w:numPr>
          <w:ilvl w:val="0"/>
          <w:numId w:val="1"/>
        </w:numPr>
        <w:shd w:val="clear" w:color="auto" w:fill="auto"/>
        <w:tabs>
          <w:tab w:val="left" w:pos="432"/>
        </w:tabs>
        <w:spacing w:after="0" w:line="232" w:lineRule="exact"/>
        <w:ind w:firstLine="0"/>
      </w:pPr>
      <w:r>
        <w:lastRenderedPageBreak/>
        <w:t>In vele landen is het homohuwelijk ervan gekomen.</w:t>
      </w:r>
    </w:p>
    <w:p w:rsidR="00E059A6" w:rsidRDefault="00DD3D5F">
      <w:pPr>
        <w:pStyle w:val="Headerorfooter0"/>
        <w:framePr w:wrap="none" w:vAnchor="page" w:hAnchor="page" w:x="1558" w:y="14983"/>
        <w:shd w:val="clear" w:color="auto" w:fill="auto"/>
      </w:pPr>
      <w:r>
        <w:t xml:space="preserve">22 </w:t>
      </w:r>
      <w:r>
        <w:rPr>
          <w:rStyle w:val="Headerorfooter1"/>
        </w:rPr>
        <w:t>Docentenhandleiding Actua.ml Vorming havo</w:t>
      </w:r>
    </w:p>
    <w:p w:rsidR="00E059A6" w:rsidRDefault="00E059A6">
      <w:pPr>
        <w:rPr>
          <w:sz w:val="2"/>
          <w:szCs w:val="2"/>
        </w:rPr>
      </w:pPr>
    </w:p>
    <w:sectPr w:rsidR="00E059A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3D5F">
      <w:r>
        <w:separator/>
      </w:r>
    </w:p>
  </w:endnote>
  <w:endnote w:type="continuationSeparator" w:id="0">
    <w:p w:rsidR="00000000" w:rsidRDefault="00DD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A6" w:rsidRDefault="00E059A6"/>
  </w:footnote>
  <w:footnote w:type="continuationSeparator" w:id="0">
    <w:p w:rsidR="00E059A6" w:rsidRDefault="00E059A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73A02"/>
    <w:multiLevelType w:val="multilevel"/>
    <w:tmpl w:val="3CEE0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4B3D0F"/>
    <w:multiLevelType w:val="multilevel"/>
    <w:tmpl w:val="52A27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A6"/>
    <w:rsid w:val="00DD3D5F"/>
    <w:rsid w:val="00E05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BBFFA-A71F-46B6-86A3-E6F36FF3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dytext3">
    <w:name w:val="Body text (3)_"/>
    <w:basedOn w:val="Standaardalinea-lettertype"/>
    <w:link w:val="Bodytext30"/>
    <w:rPr>
      <w:b/>
      <w:bCs/>
      <w:i w:val="0"/>
      <w:iCs w:val="0"/>
      <w:smallCaps w:val="0"/>
      <w:strike w:val="0"/>
      <w:sz w:val="21"/>
      <w:szCs w:val="21"/>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16577E"/>
      <w:spacing w:val="0"/>
      <w:w w:val="100"/>
      <w:position w:val="0"/>
      <w:sz w:val="21"/>
      <w:szCs w:val="21"/>
      <w:u w:val="none"/>
      <w:lang w:val="nl-NL" w:eastAsia="nl-NL" w:bidi="nl-NL"/>
    </w:rPr>
  </w:style>
  <w:style w:type="character" w:customStyle="1" w:styleId="Heading1">
    <w:name w:val="Heading #1_"/>
    <w:basedOn w:val="Standaardalinea-lettertype"/>
    <w:link w:val="Heading10"/>
    <w:rPr>
      <w:b/>
      <w:bCs/>
      <w:i w:val="0"/>
      <w:iCs w:val="0"/>
      <w:smallCaps w:val="0"/>
      <w:strike w:val="0"/>
      <w:sz w:val="21"/>
      <w:szCs w:val="21"/>
      <w:u w:val="none"/>
    </w:rPr>
  </w:style>
  <w:style w:type="character" w:customStyle="1" w:styleId="Bodytext2">
    <w:name w:val="Body text (2)_"/>
    <w:basedOn w:val="Standaardalinea-lettertype"/>
    <w:link w:val="Bodytext20"/>
    <w:rPr>
      <w:b w:val="0"/>
      <w:bCs w:val="0"/>
      <w:i w:val="0"/>
      <w:iCs w:val="0"/>
      <w:smallCaps w:val="0"/>
      <w:strike w:val="0"/>
      <w:sz w:val="21"/>
      <w:szCs w:val="21"/>
      <w:u w:val="none"/>
    </w:rPr>
  </w:style>
  <w:style w:type="character" w:customStyle="1" w:styleId="Headerorfooter">
    <w:name w:val="Header or footer_"/>
    <w:basedOn w:val="Standaardalinea-lettertype"/>
    <w:link w:val="Headerorfooter0"/>
    <w:rPr>
      <w:b w:val="0"/>
      <w:bCs w:val="0"/>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16577E"/>
      <w:spacing w:val="0"/>
      <w:w w:val="100"/>
      <w:position w:val="0"/>
      <w:sz w:val="17"/>
      <w:szCs w:val="17"/>
      <w:u w:val="none"/>
      <w:lang w:val="nl-NL" w:eastAsia="nl-NL" w:bidi="nl-NL"/>
    </w:rPr>
  </w:style>
  <w:style w:type="paragraph" w:customStyle="1" w:styleId="Bodytext30">
    <w:name w:val="Body text (3)"/>
    <w:basedOn w:val="Standaard"/>
    <w:link w:val="Bodytext3"/>
    <w:pPr>
      <w:shd w:val="clear" w:color="auto" w:fill="FFFFFF"/>
      <w:spacing w:after="440" w:line="232" w:lineRule="exact"/>
    </w:pPr>
    <w:rPr>
      <w:b/>
      <w:bCs/>
      <w:sz w:val="21"/>
      <w:szCs w:val="21"/>
    </w:rPr>
  </w:style>
  <w:style w:type="paragraph" w:customStyle="1" w:styleId="Heading10">
    <w:name w:val="Heading #1"/>
    <w:basedOn w:val="Standaard"/>
    <w:link w:val="Heading1"/>
    <w:pPr>
      <w:shd w:val="clear" w:color="auto" w:fill="FFFFFF"/>
      <w:spacing w:before="440" w:line="232" w:lineRule="exact"/>
      <w:outlineLvl w:val="0"/>
    </w:pPr>
    <w:rPr>
      <w:b/>
      <w:bCs/>
      <w:sz w:val="21"/>
      <w:szCs w:val="21"/>
    </w:rPr>
  </w:style>
  <w:style w:type="paragraph" w:customStyle="1" w:styleId="Bodytext20">
    <w:name w:val="Body text (2)"/>
    <w:basedOn w:val="Standaard"/>
    <w:link w:val="Bodytext2"/>
    <w:pPr>
      <w:shd w:val="clear" w:color="auto" w:fill="FFFFFF"/>
      <w:spacing w:after="260" w:line="245" w:lineRule="exact"/>
      <w:ind w:hanging="480"/>
    </w:pPr>
    <w:rPr>
      <w:sz w:val="21"/>
      <w:szCs w:val="21"/>
    </w:rPr>
  </w:style>
  <w:style w:type="paragraph" w:customStyle="1" w:styleId="Headerorfooter0">
    <w:name w:val="Header or footer"/>
    <w:basedOn w:val="Standaard"/>
    <w:link w:val="Headerorfooter"/>
    <w:pPr>
      <w:shd w:val="clear" w:color="auto" w:fill="FFFFFF"/>
      <w:spacing w:line="188" w:lineRule="exac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5488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Fluitsma</dc:creator>
  <cp:lastModifiedBy>Fluitsma, DWPM (Daniel)</cp:lastModifiedBy>
  <cp:revision>2</cp:revision>
  <dcterms:created xsi:type="dcterms:W3CDTF">2019-11-28T13:08:00Z</dcterms:created>
  <dcterms:modified xsi:type="dcterms:W3CDTF">2019-11-28T13:08:00Z</dcterms:modified>
</cp:coreProperties>
</file>